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52BA1" w14:textId="7F8D6748" w:rsidR="005C3B35" w:rsidRDefault="005C3B35" w:rsidP="005C3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#162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S2-240</w:t>
      </w:r>
      <w:r w:rsidR="003332B8">
        <w:rPr>
          <w:rFonts w:cs="Arial"/>
          <w:b/>
          <w:noProof/>
          <w:sz w:val="24"/>
        </w:rPr>
        <w:t>4549</w:t>
      </w:r>
    </w:p>
    <w:p w14:paraId="53F8655B" w14:textId="6B70130F" w:rsidR="004C75B8" w:rsidRDefault="005C3B35" w:rsidP="005C3B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Changsha China, April 15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–April 19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b/>
          <w:noProof/>
          <w:color w:val="3333FF"/>
        </w:rPr>
        <w:t>(revision of S2-240</w:t>
      </w:r>
      <w:r w:rsidR="00035F48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F4367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</w:p>
    <w:p w14:paraId="0F18C97F" w14:textId="7AD17ED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24590">
        <w:rPr>
          <w:rFonts w:ascii="Arial" w:hAnsi="Arial" w:cs="Arial"/>
          <w:b/>
        </w:rPr>
        <w:t>Evaluation and Solution Principles targeting Human User Use case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9398E7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1262D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</w:t>
      </w:r>
    </w:p>
    <w:p w14:paraId="1A0A4326" w14:textId="2D5488F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 xml:space="preserve">FS_UIA_ARC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244AAEDD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24590">
        <w:rPr>
          <w:rFonts w:ascii="Arial" w:hAnsi="Arial" w:cs="Arial"/>
          <w:i/>
        </w:rPr>
        <w:t>This paper brings in the principles for moving forward as part of evaluation of solutions.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44D86E0" w14:textId="2F47E747" w:rsidR="00035F48" w:rsidRPr="00035F48" w:rsidRDefault="00E24590" w:rsidP="00390639">
      <w:pPr>
        <w:rPr>
          <w:i/>
          <w:iCs/>
        </w:rPr>
      </w:pPr>
      <w:r>
        <w:t>Various solutions are discussed and are part of this specific TR 23.700-32. This paper brings in principles that shall be considered to address the various KIs of the Human User Use case.</w:t>
      </w:r>
    </w:p>
    <w:p w14:paraId="30E59ADC" w14:textId="53206571" w:rsidR="0073440A" w:rsidRDefault="003E5F05" w:rsidP="0073440A">
      <w:pPr>
        <w:pStyle w:val="Heading1"/>
      </w:pPr>
      <w:r>
        <w:t>2</w:t>
      </w:r>
      <w:r w:rsidR="0073440A">
        <w:t xml:space="preserve"> </w:t>
      </w:r>
      <w:r w:rsidR="00E24590">
        <w:tab/>
      </w:r>
      <w:r w:rsidR="0073440A">
        <w:t>Proposal</w:t>
      </w:r>
    </w:p>
    <w:p w14:paraId="06BD46FA" w14:textId="47BC38AE" w:rsidR="00390639" w:rsidRDefault="00390639" w:rsidP="00390639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proposed to update TR 23.700-32 as </w:t>
      </w:r>
      <w:r w:rsidR="00E24590">
        <w:rPr>
          <w:rFonts w:eastAsia="Malgun Gothic"/>
          <w:lang w:eastAsia="ko-KR"/>
        </w:rPr>
        <w:t>below to bring in principles as part of the evaluation.</w:t>
      </w:r>
    </w:p>
    <w:p w14:paraId="26588CFC" w14:textId="301B812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24590"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09C5AAAE" w14:textId="7FAB3DA0" w:rsidR="00E24590" w:rsidRPr="00E24590" w:rsidRDefault="00E24590" w:rsidP="00E24590">
      <w:pPr>
        <w:pStyle w:val="Heading2"/>
        <w:rPr>
          <w:lang w:eastAsia="en-GB"/>
        </w:rPr>
      </w:pPr>
      <w:bookmarkStart w:id="3" w:name="_Toc157692403"/>
      <w:bookmarkStart w:id="4" w:name="_Toc160456146"/>
      <w:bookmarkStart w:id="5" w:name="_Toc160456398"/>
      <w:bookmarkEnd w:id="2"/>
      <w:r w:rsidRPr="00E24590">
        <w:rPr>
          <w:lang w:eastAsia="en-GB"/>
        </w:rPr>
        <w:t>7</w:t>
      </w:r>
      <w:r>
        <w:rPr>
          <w:lang w:eastAsia="en-GB"/>
        </w:rPr>
        <w:t>.1</w:t>
      </w:r>
      <w:bookmarkEnd w:id="3"/>
      <w:bookmarkEnd w:id="4"/>
      <w:bookmarkEnd w:id="5"/>
      <w:r w:rsidRPr="00E24590">
        <w:rPr>
          <w:lang w:eastAsia="en-GB"/>
        </w:rPr>
        <w:t xml:space="preserve"> </w:t>
      </w:r>
      <w:r w:rsidR="00F97EFC">
        <w:rPr>
          <w:lang w:eastAsia="en-GB"/>
        </w:rPr>
        <w:tab/>
      </w:r>
      <w:r w:rsidRPr="00E24590">
        <w:rPr>
          <w:lang w:eastAsia="en-GB"/>
        </w:rPr>
        <w:t xml:space="preserve">Solution </w:t>
      </w:r>
      <w:r w:rsidR="00B40358">
        <w:rPr>
          <w:lang w:eastAsia="en-GB"/>
        </w:rPr>
        <w:t>p</w:t>
      </w:r>
      <w:r w:rsidRPr="00E24590">
        <w:rPr>
          <w:lang w:eastAsia="en-GB"/>
        </w:rPr>
        <w:t xml:space="preserve">rinciples targeting </w:t>
      </w:r>
      <w:r w:rsidR="00B40358">
        <w:rPr>
          <w:lang w:eastAsia="en-GB"/>
        </w:rPr>
        <w:t>h</w:t>
      </w:r>
      <w:r w:rsidRPr="00E24590">
        <w:rPr>
          <w:lang w:eastAsia="en-GB"/>
        </w:rPr>
        <w:t xml:space="preserve">uman </w:t>
      </w:r>
      <w:r w:rsidR="00B40358">
        <w:rPr>
          <w:lang w:eastAsia="en-GB"/>
        </w:rPr>
        <w:t>u</w:t>
      </w:r>
      <w:r w:rsidRPr="00E24590">
        <w:rPr>
          <w:lang w:eastAsia="en-GB"/>
        </w:rPr>
        <w:t xml:space="preserve">ser </w:t>
      </w:r>
      <w:r w:rsidR="00B40358">
        <w:rPr>
          <w:lang w:eastAsia="en-GB"/>
        </w:rPr>
        <w:t>u</w:t>
      </w:r>
      <w:r w:rsidRPr="00E24590">
        <w:rPr>
          <w:lang w:eastAsia="en-GB"/>
        </w:rPr>
        <w:t>se case.</w:t>
      </w:r>
    </w:p>
    <w:p w14:paraId="7FCAD241" w14:textId="3B5CC08E" w:rsidR="00666585" w:rsidRDefault="00B40358" w:rsidP="00666585">
      <w:r>
        <w:t xml:space="preserve">Basing it on </w:t>
      </w:r>
      <w:r w:rsidR="00F92746">
        <w:t>to the Architectural Assumption</w:t>
      </w:r>
      <w:r>
        <w:t xml:space="preserve">s, </w:t>
      </w:r>
      <w:r w:rsidR="00F92746">
        <w:t xml:space="preserve">Requirements and KI definitions, </w:t>
      </w:r>
      <w:r w:rsidR="0034319E">
        <w:t xml:space="preserve">the </w:t>
      </w:r>
      <w:r w:rsidR="00F92746">
        <w:t xml:space="preserve">following </w:t>
      </w:r>
      <w:r>
        <w:t>s</w:t>
      </w:r>
      <w:r w:rsidR="00F92746">
        <w:t xml:space="preserve">olution </w:t>
      </w:r>
      <w:r>
        <w:t>p</w:t>
      </w:r>
      <w:r w:rsidR="00F92746">
        <w:t>rinciples should be considered as part of the evaluations and conclusions.</w:t>
      </w:r>
    </w:p>
    <w:p w14:paraId="15197949" w14:textId="62E86068" w:rsidR="00384154" w:rsidRDefault="00384154" w:rsidP="00F92746">
      <w:pPr>
        <w:pStyle w:val="B1"/>
        <w:numPr>
          <w:ilvl w:val="0"/>
          <w:numId w:val="51"/>
        </w:numPr>
        <w:rPr>
          <w:lang w:eastAsia="zh-CN"/>
        </w:rPr>
      </w:pPr>
      <w:r>
        <w:t xml:space="preserve">The human User use case </w:t>
      </w:r>
      <w:r w:rsidR="00FF06AE">
        <w:t>should be</w:t>
      </w:r>
      <w:r w:rsidR="0014705C">
        <w:t xml:space="preserve"> </w:t>
      </w:r>
      <w:r>
        <w:t xml:space="preserve">identified </w:t>
      </w:r>
      <w:r w:rsidR="00FF06AE">
        <w:t xml:space="preserve">at </w:t>
      </w:r>
      <w:r w:rsidR="005B0EED">
        <w:t>an</w:t>
      </w:r>
      <w:r w:rsidR="00FF06AE">
        <w:t xml:space="preserve"> early stage (e.g. initial </w:t>
      </w:r>
      <w:r>
        <w:t>Registration procedure</w:t>
      </w:r>
      <w:r w:rsidR="00FF06AE">
        <w:t>)</w:t>
      </w:r>
      <w:r>
        <w:t xml:space="preserve"> to guarantee the </w:t>
      </w:r>
      <w:r w:rsidR="0014705C">
        <w:t xml:space="preserve">correct handling of the human User use case principles </w:t>
      </w:r>
      <w:r w:rsidR="00FF06AE">
        <w:t xml:space="preserve">in 5GS </w:t>
      </w:r>
      <w:r w:rsidR="0014705C">
        <w:t xml:space="preserve">and the </w:t>
      </w:r>
      <w:r>
        <w:t>parallel support of the classical UE use case, the new human User use case.</w:t>
      </w:r>
    </w:p>
    <w:p w14:paraId="188E7C36" w14:textId="36E63A64" w:rsidR="0014705C" w:rsidRDefault="0014705C" w:rsidP="00F92746">
      <w:pPr>
        <w:pStyle w:val="B1"/>
        <w:numPr>
          <w:ilvl w:val="0"/>
          <w:numId w:val="51"/>
        </w:numPr>
        <w:rPr>
          <w:lang w:eastAsia="zh-CN"/>
        </w:rPr>
      </w:pPr>
      <w:r>
        <w:t>The User Identifier of a human User should follow the same security/privacy principles as specified for the UE</w:t>
      </w:r>
      <w:r w:rsidR="003A2593">
        <w:t xml:space="preserve"> </w:t>
      </w:r>
      <w:r w:rsidR="003A2593">
        <w:rPr>
          <w:lang w:eastAsia="zh-CN"/>
        </w:rPr>
        <w:t>(detailed measures</w:t>
      </w:r>
      <w:r w:rsidR="005B0EED">
        <w:rPr>
          <w:lang w:eastAsia="zh-CN"/>
        </w:rPr>
        <w:t>,</w:t>
      </w:r>
      <w:r w:rsidR="003A2593">
        <w:rPr>
          <w:lang w:eastAsia="zh-CN"/>
        </w:rPr>
        <w:t xml:space="preserve"> especially for NAS authentication and authorization of User identifier and UE shall be under the umbrella of SA3)</w:t>
      </w:r>
      <w:r>
        <w:t xml:space="preserve">. </w:t>
      </w:r>
      <w:r w:rsidR="003A2593">
        <w:rPr>
          <w:lang w:eastAsia="zh-CN"/>
        </w:rPr>
        <w:t>This would also mean that User identifiers are protected against tracking in all specified procedures.</w:t>
      </w:r>
    </w:p>
    <w:p w14:paraId="311B0F7D" w14:textId="1649E229" w:rsidR="009D04FC" w:rsidRDefault="00FF06AE" w:rsidP="00F92746">
      <w:pPr>
        <w:pStyle w:val="B1"/>
        <w:numPr>
          <w:ilvl w:val="0"/>
          <w:numId w:val="51"/>
        </w:numPr>
      </w:pPr>
      <w:r>
        <w:t xml:space="preserve">At any given time only one User profile can be active with a UE subscription. The solution shall define the behaviour how this is guaranteed, especially when </w:t>
      </w:r>
      <w:r w:rsidR="009D04FC">
        <w:t>a new</w:t>
      </w:r>
      <w:r>
        <w:t xml:space="preserve"> human User </w:t>
      </w:r>
      <w:r w:rsidR="009D04FC">
        <w:t>wants to use the UE</w:t>
      </w:r>
      <w:r w:rsidR="005B0EED">
        <w:t>,</w:t>
      </w:r>
      <w:r w:rsidR="009D04FC">
        <w:t xml:space="preserve"> but another human User is already associated with the UE. This also includes to define how </w:t>
      </w:r>
      <w:r w:rsidR="009D04FC" w:rsidRPr="00F92746">
        <w:t xml:space="preserve">subsequent services (PDU, etc) </w:t>
      </w:r>
      <w:r w:rsidR="009D04FC">
        <w:t xml:space="preserve">belongs to </w:t>
      </w:r>
      <w:r w:rsidR="009D04FC" w:rsidRPr="00F92746">
        <w:t xml:space="preserve">the </w:t>
      </w:r>
      <w:r w:rsidR="009D04FC">
        <w:t xml:space="preserve">human User, </w:t>
      </w:r>
      <w:r w:rsidR="009D04FC" w:rsidRPr="00F92746">
        <w:t>which has the active registration</w:t>
      </w:r>
      <w:r w:rsidR="009D04FC">
        <w:t xml:space="preserve">/association </w:t>
      </w:r>
      <w:r w:rsidR="009D04FC" w:rsidRPr="00F92746">
        <w:t>at that given point of time</w:t>
      </w:r>
      <w:r w:rsidR="009D04FC">
        <w:t>.</w:t>
      </w:r>
    </w:p>
    <w:p w14:paraId="1ADB9B38" w14:textId="2EC48804" w:rsidR="00811153" w:rsidRDefault="00811153" w:rsidP="00F92746">
      <w:pPr>
        <w:pStyle w:val="B1"/>
        <w:numPr>
          <w:ilvl w:val="0"/>
          <w:numId w:val="51"/>
        </w:numPr>
      </w:pPr>
      <w:r>
        <w:t xml:space="preserve">The impact on existing TS 23.501, TS 23.502, and TS 23.503 should be as small as possible. When equivalent changes are identified in the evaluation </w:t>
      </w:r>
      <w:r w:rsidR="0034319E">
        <w:t xml:space="preserve">of </w:t>
      </w:r>
      <w:r>
        <w:t>the solution which provides more functionality or less restrictions should be preferred.</w:t>
      </w:r>
    </w:p>
    <w:p w14:paraId="0861D01E" w14:textId="77777777" w:rsidR="00565E25" w:rsidRPr="00B62076" w:rsidRDefault="00565E25" w:rsidP="00565E25">
      <w:pPr>
        <w:rPr>
          <w:lang w:eastAsia="zh-CN"/>
        </w:rPr>
      </w:pP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876C6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95BEA" w14:textId="77777777" w:rsidR="00876C62" w:rsidRDefault="00876C62">
      <w:r>
        <w:separator/>
      </w:r>
    </w:p>
    <w:p w14:paraId="6787FE57" w14:textId="77777777" w:rsidR="00876C62" w:rsidRDefault="00876C62"/>
  </w:endnote>
  <w:endnote w:type="continuationSeparator" w:id="0">
    <w:p w14:paraId="0174BEB2" w14:textId="77777777" w:rsidR="00876C62" w:rsidRDefault="00876C62">
      <w:r>
        <w:continuationSeparator/>
      </w:r>
    </w:p>
    <w:p w14:paraId="76C47100" w14:textId="77777777" w:rsidR="00876C62" w:rsidRDefault="00876C62"/>
  </w:endnote>
  <w:endnote w:type="continuationNotice" w:id="1">
    <w:p w14:paraId="742F58E6" w14:textId="77777777" w:rsidR="00876C62" w:rsidRDefault="00876C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C3E13" w14:textId="77777777" w:rsidR="00876C62" w:rsidRDefault="00876C62">
      <w:r>
        <w:separator/>
      </w:r>
    </w:p>
    <w:p w14:paraId="5E0637D7" w14:textId="77777777" w:rsidR="00876C62" w:rsidRDefault="00876C62"/>
  </w:footnote>
  <w:footnote w:type="continuationSeparator" w:id="0">
    <w:p w14:paraId="2110695E" w14:textId="77777777" w:rsidR="00876C62" w:rsidRDefault="00876C62">
      <w:r>
        <w:continuationSeparator/>
      </w:r>
    </w:p>
    <w:p w14:paraId="0DA704E2" w14:textId="77777777" w:rsidR="00876C62" w:rsidRDefault="00876C62"/>
  </w:footnote>
  <w:footnote w:type="continuationNotice" w:id="1">
    <w:p w14:paraId="6522E206" w14:textId="77777777" w:rsidR="00876C62" w:rsidRDefault="00876C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A0C"/>
    <w:multiLevelType w:val="hybridMultilevel"/>
    <w:tmpl w:val="210AED28"/>
    <w:lvl w:ilvl="0" w:tplc="B54E19A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A63368"/>
    <w:multiLevelType w:val="hybridMultilevel"/>
    <w:tmpl w:val="AC5A6B68"/>
    <w:lvl w:ilvl="0" w:tplc="209098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6B227A6"/>
    <w:multiLevelType w:val="hybridMultilevel"/>
    <w:tmpl w:val="E6086F16"/>
    <w:lvl w:ilvl="0" w:tplc="C218A26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0F429E"/>
    <w:multiLevelType w:val="hybridMultilevel"/>
    <w:tmpl w:val="6792B896"/>
    <w:lvl w:ilvl="0" w:tplc="F86E40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696E07"/>
    <w:multiLevelType w:val="hybridMultilevel"/>
    <w:tmpl w:val="AE52FA6E"/>
    <w:lvl w:ilvl="0" w:tplc="5DBA262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70D6F0E"/>
    <w:multiLevelType w:val="hybridMultilevel"/>
    <w:tmpl w:val="BC7A10D2"/>
    <w:lvl w:ilvl="0" w:tplc="9588F4B8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2307735">
    <w:abstractNumId w:val="17"/>
  </w:num>
  <w:num w:numId="2" w16cid:durableId="1673223003">
    <w:abstractNumId w:val="35"/>
  </w:num>
  <w:num w:numId="3" w16cid:durableId="386729369">
    <w:abstractNumId w:val="26"/>
  </w:num>
  <w:num w:numId="4" w16cid:durableId="1378748217">
    <w:abstractNumId w:val="43"/>
  </w:num>
  <w:num w:numId="5" w16cid:durableId="1807119271">
    <w:abstractNumId w:val="36"/>
  </w:num>
  <w:num w:numId="6" w16cid:durableId="227617955">
    <w:abstractNumId w:val="45"/>
  </w:num>
  <w:num w:numId="7" w16cid:durableId="2099475737">
    <w:abstractNumId w:val="28"/>
  </w:num>
  <w:num w:numId="8" w16cid:durableId="730347363">
    <w:abstractNumId w:val="31"/>
  </w:num>
  <w:num w:numId="9" w16cid:durableId="827479430">
    <w:abstractNumId w:val="30"/>
  </w:num>
  <w:num w:numId="10" w16cid:durableId="937179797">
    <w:abstractNumId w:val="12"/>
  </w:num>
  <w:num w:numId="11" w16cid:durableId="215048273">
    <w:abstractNumId w:val="22"/>
  </w:num>
  <w:num w:numId="12" w16cid:durableId="1925603159">
    <w:abstractNumId w:val="14"/>
  </w:num>
  <w:num w:numId="13" w16cid:durableId="1784570676">
    <w:abstractNumId w:val="19"/>
  </w:num>
  <w:num w:numId="14" w16cid:durableId="1466241062">
    <w:abstractNumId w:val="13"/>
  </w:num>
  <w:num w:numId="15" w16cid:durableId="467750396">
    <w:abstractNumId w:val="41"/>
  </w:num>
  <w:num w:numId="16" w16cid:durableId="232400497">
    <w:abstractNumId w:val="33"/>
  </w:num>
  <w:num w:numId="17" w16cid:durableId="1430274516">
    <w:abstractNumId w:val="25"/>
  </w:num>
  <w:num w:numId="18" w16cid:durableId="520777866">
    <w:abstractNumId w:val="34"/>
  </w:num>
  <w:num w:numId="19" w16cid:durableId="1665008687">
    <w:abstractNumId w:val="11"/>
  </w:num>
  <w:num w:numId="20" w16cid:durableId="560942569">
    <w:abstractNumId w:val="47"/>
  </w:num>
  <w:num w:numId="21" w16cid:durableId="1743210504">
    <w:abstractNumId w:val="18"/>
  </w:num>
  <w:num w:numId="22" w16cid:durableId="816187463">
    <w:abstractNumId w:val="21"/>
  </w:num>
  <w:num w:numId="23" w16cid:durableId="1171410579">
    <w:abstractNumId w:val="46"/>
  </w:num>
  <w:num w:numId="24" w16cid:durableId="689575139">
    <w:abstractNumId w:val="16"/>
  </w:num>
  <w:num w:numId="25" w16cid:durableId="825240974">
    <w:abstractNumId w:val="44"/>
  </w:num>
  <w:num w:numId="26" w16cid:durableId="1087536275">
    <w:abstractNumId w:val="20"/>
  </w:num>
  <w:num w:numId="27" w16cid:durableId="629436641">
    <w:abstractNumId w:val="48"/>
  </w:num>
  <w:num w:numId="28" w16cid:durableId="1765370528">
    <w:abstractNumId w:val="9"/>
  </w:num>
  <w:num w:numId="29" w16cid:durableId="1928415247">
    <w:abstractNumId w:val="7"/>
  </w:num>
  <w:num w:numId="30" w16cid:durableId="1860778297">
    <w:abstractNumId w:val="6"/>
  </w:num>
  <w:num w:numId="31" w16cid:durableId="830487281">
    <w:abstractNumId w:val="5"/>
  </w:num>
  <w:num w:numId="32" w16cid:durableId="385884631">
    <w:abstractNumId w:val="4"/>
  </w:num>
  <w:num w:numId="33" w16cid:durableId="2086032516">
    <w:abstractNumId w:val="8"/>
  </w:num>
  <w:num w:numId="34" w16cid:durableId="1198272176">
    <w:abstractNumId w:val="3"/>
  </w:num>
  <w:num w:numId="35" w16cid:durableId="1730766860">
    <w:abstractNumId w:val="2"/>
  </w:num>
  <w:num w:numId="36" w16cid:durableId="1421364124">
    <w:abstractNumId w:val="1"/>
  </w:num>
  <w:num w:numId="37" w16cid:durableId="1987706928">
    <w:abstractNumId w:val="0"/>
  </w:num>
  <w:num w:numId="38" w16cid:durableId="1330135595">
    <w:abstractNumId w:val="23"/>
  </w:num>
  <w:num w:numId="39" w16cid:durableId="325979605">
    <w:abstractNumId w:val="39"/>
  </w:num>
  <w:num w:numId="40" w16cid:durableId="1152406363">
    <w:abstractNumId w:val="50"/>
  </w:num>
  <w:num w:numId="41" w16cid:durableId="920673527">
    <w:abstractNumId w:val="29"/>
  </w:num>
  <w:num w:numId="42" w16cid:durableId="242566502">
    <w:abstractNumId w:val="24"/>
  </w:num>
  <w:num w:numId="43" w16cid:durableId="1775445176">
    <w:abstractNumId w:val="37"/>
  </w:num>
  <w:num w:numId="44" w16cid:durableId="1816678884">
    <w:abstractNumId w:val="27"/>
  </w:num>
  <w:num w:numId="45" w16cid:durableId="2057464158">
    <w:abstractNumId w:val="15"/>
  </w:num>
  <w:num w:numId="46" w16cid:durableId="1537540405">
    <w:abstractNumId w:val="40"/>
  </w:num>
  <w:num w:numId="47" w16cid:durableId="392430376">
    <w:abstractNumId w:val="49"/>
  </w:num>
  <w:num w:numId="48" w16cid:durableId="572277117">
    <w:abstractNumId w:val="32"/>
  </w:num>
  <w:num w:numId="49" w16cid:durableId="1169636311">
    <w:abstractNumId w:val="10"/>
  </w:num>
  <w:num w:numId="50" w16cid:durableId="1006833473">
    <w:abstractNumId w:val="38"/>
  </w:num>
  <w:num w:numId="51" w16cid:durableId="135414378">
    <w:abstractNumId w:val="4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5F48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1B1"/>
    <w:rsid w:val="00102DDF"/>
    <w:rsid w:val="001036A5"/>
    <w:rsid w:val="001038DA"/>
    <w:rsid w:val="00103CA3"/>
    <w:rsid w:val="001046E0"/>
    <w:rsid w:val="001046EC"/>
    <w:rsid w:val="0010609F"/>
    <w:rsid w:val="00107A57"/>
    <w:rsid w:val="001108B5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746"/>
    <w:rsid w:val="0014483E"/>
    <w:rsid w:val="00145870"/>
    <w:rsid w:val="00145ACE"/>
    <w:rsid w:val="0014705C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6167"/>
    <w:rsid w:val="001E6691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6A1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E74"/>
    <w:rsid w:val="003332B8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319E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389B"/>
    <w:rsid w:val="00384154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F85"/>
    <w:rsid w:val="003A161E"/>
    <w:rsid w:val="003A1B02"/>
    <w:rsid w:val="003A2593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2EF3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960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A3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E25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EED"/>
    <w:rsid w:val="005B42E0"/>
    <w:rsid w:val="005B59FF"/>
    <w:rsid w:val="005B6482"/>
    <w:rsid w:val="005C26EE"/>
    <w:rsid w:val="005C289E"/>
    <w:rsid w:val="005C36BD"/>
    <w:rsid w:val="005C3B35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49A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6585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2BA0"/>
    <w:rsid w:val="00792E14"/>
    <w:rsid w:val="00793736"/>
    <w:rsid w:val="00795400"/>
    <w:rsid w:val="00796E21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62"/>
    <w:rsid w:val="00811153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1DF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6C62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03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04FC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5A5F"/>
    <w:rsid w:val="00A1072B"/>
    <w:rsid w:val="00A122C0"/>
    <w:rsid w:val="00A152D4"/>
    <w:rsid w:val="00A1645B"/>
    <w:rsid w:val="00A16813"/>
    <w:rsid w:val="00A175F9"/>
    <w:rsid w:val="00A2018E"/>
    <w:rsid w:val="00A20A5C"/>
    <w:rsid w:val="00A21609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0E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358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24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7ED2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590"/>
    <w:rsid w:val="00E24D92"/>
    <w:rsid w:val="00E3055A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2EAB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2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746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EFC"/>
    <w:rsid w:val="00FA0815"/>
    <w:rsid w:val="00FA2541"/>
    <w:rsid w:val="00FA2EBD"/>
    <w:rsid w:val="00FA4AA4"/>
    <w:rsid w:val="00FA4E38"/>
    <w:rsid w:val="00FA5602"/>
    <w:rsid w:val="00FA56CD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6AE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RBI5PAMIO524-1616901215-18095</_dlc_DocId>
    <_dlc_DocIdUrl xmlns="71c5aaf6-e6ce-465b-b873-5148d2a4c105">
      <Url>https://nokia.sharepoint.com/sites/gxp/_layouts/15/DocIdRedir.aspx?ID=RBI5PAMIO524-1616901215-18095</Url>
      <Description>RBI5PAMIO524-1616901215-18095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3f2ce089-3858-4176-9a21-a30f9204848e"/>
    <ds:schemaRef ds:uri="7275bb01-7583-478d-bc14-e839a2dd5989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71c5aaf6-e6ce-465b-b873-5148d2a4c105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Nokia47</cp:lastModifiedBy>
  <cp:revision>116</cp:revision>
  <cp:lastPrinted>2014-09-10T09:04:00Z</cp:lastPrinted>
  <dcterms:created xsi:type="dcterms:W3CDTF">2020-09-28T14:00:00Z</dcterms:created>
  <dcterms:modified xsi:type="dcterms:W3CDTF">2024-04-05T15:19:00Z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9c5f6108-3791-48e4-abd6-9176a13ceb5d</vt:lpwstr>
  </property>
  <property fmtid="{D5CDD505-2E9C-101B-9397-08002B2CF9AE}" pid="4" name="MediaServiceImageTags">
    <vt:lpwstr/>
  </property>
</Properties>
</file>